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Patient Experiences of Institutional Betrayal in the Canadian Medical System</w:t>
      </w:r>
    </w:p>
    <w:p w:rsid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2D9C" w:rsidRPr="00A97B0C" w:rsidRDefault="00E62D9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Abstract: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Individuals with extensive trauma tend to utilize health care services more frequently than others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(Bonomi, Anderson, Rivara, &amp; Thompson, 2009). Moreover, survivors of trauma struggle with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psychological and physical long-term consequences (e.g., depression, somatic symptoms, pain),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which are further intensified when the trauma experience is associated with feelings of betrayal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(Martin, Cromer, DePrince, &amp; Freyd, 2013). Since trauma exposure has a cumulative effect on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health (Sledjeski, Speisman, &amp; Dierker, 2008), people who experience chronic medical conditions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may be further traumatized through feelings of institutional betrayal. Physicians often view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patients with chronic medical conditions as 􀂳difficult􀂴􀀃and may feel unprepared to adequately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treat them (Green et al., 2011). Additionally, these patients may reject help because of previous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negative experiences with the medical system (Green et al., 2011). The current study directly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investigated experiences that may lead to feelings of institutional betrayal in the Canadian medical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system. Fourteen participants with chronic medical conditions completed an online, qualitative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survey containing 21 questions. Inductive content analysis revealed two overarching themes of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institutional betrayal: doctor level and system level betrayal. In the theme of doctor level betrayal,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two subthemes emerged: inappropriate medical care and lack of psychological support.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Participants indicated that doctors fail to provide efficient medical care, are not open to alternative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treatments, and lack training in complex cases. Additionally, participants felt they were not treated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with compassion, not understood or validated by providers, and experienced strong emotional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reactions after their interactions with medical providers. In the theme of system level betrayal,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various forms of system dysfunction appeared to promote further negative experiences: the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system creates barriers to care, doctors are not held accountable for their actions, and negative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patient experiences seem very common. The discussion outlines the use of these themes in the</w:t>
      </w:r>
    </w:p>
    <w:p w:rsidR="00A97B0C" w:rsidRPr="00A97B0C" w:rsidRDefault="00A97B0C" w:rsidP="00A97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C">
        <w:rPr>
          <w:rFonts w:ascii="Times New Roman" w:hAnsi="Times New Roman" w:cs="Times New Roman"/>
          <w:sz w:val="24"/>
          <w:szCs w:val="24"/>
        </w:rPr>
        <w:t>revision and alteration of a measure of institutional betrayal.</w:t>
      </w:r>
    </w:p>
    <w:p w:rsidR="00A97B0C" w:rsidRDefault="00A97B0C" w:rsidP="00A97B0C"/>
    <w:sectPr w:rsidR="00A9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7B0C"/>
    <w:rsid w:val="00A97B0C"/>
    <w:rsid w:val="00E6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University of Regina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reid200m</dc:creator>
  <cp:lastModifiedBy>reid200m</cp:lastModifiedBy>
  <cp:revision>2</cp:revision>
  <dcterms:created xsi:type="dcterms:W3CDTF">2015-09-18T23:52:00Z</dcterms:created>
  <dcterms:modified xsi:type="dcterms:W3CDTF">2015-09-18T23:54:00Z</dcterms:modified>
</cp:coreProperties>
</file>